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04" w:rsidRPr="009E2A04" w:rsidRDefault="33D61763" w:rsidP="33D61763">
      <w:pPr>
        <w:pStyle w:val="BodyText"/>
        <w:rPr>
          <w:b/>
          <w:bCs/>
          <w:sz w:val="22"/>
          <w:szCs w:val="22"/>
        </w:rPr>
      </w:pPr>
      <w:bookmarkStart w:id="0" w:name="_GoBack"/>
      <w:bookmarkEnd w:id="0"/>
      <w:r w:rsidRPr="33D61763">
        <w:rPr>
          <w:b/>
          <w:bCs/>
          <w:sz w:val="22"/>
          <w:szCs w:val="22"/>
        </w:rPr>
        <w:t>JHH Gap Analysis for TJC SEA 59: Physical and verbal violence against health care workers</w:t>
      </w:r>
    </w:p>
    <w:p w:rsidR="00A10F93" w:rsidRPr="0022147B" w:rsidRDefault="33D61763" w:rsidP="33D61763">
      <w:pPr>
        <w:pStyle w:val="BodyText"/>
        <w:rPr>
          <w:i/>
          <w:iCs/>
          <w:sz w:val="18"/>
          <w:szCs w:val="18"/>
        </w:rPr>
      </w:pPr>
      <w:r w:rsidRPr="33D61763">
        <w:rPr>
          <w:i/>
          <w:iCs/>
          <w:sz w:val="18"/>
          <w:szCs w:val="18"/>
        </w:rPr>
        <w:t>“Workplace violence is not merely the heinous, violent events that make the news; it is also the everyday occurrences, such as verbal abuse, that are often overlooked. While this Sentinel Event Alert focuses on physical and verbal violence, there is a whole spectrum of overlapping behaviors that undermine a culture of safety, addressed in Sentinel Event Alert issues 40 and 57;</w:t>
      </w:r>
      <w:r w:rsidRPr="33D61763">
        <w:rPr>
          <w:i/>
          <w:iCs/>
          <w:sz w:val="18"/>
          <w:szCs w:val="18"/>
          <w:vertAlign w:val="superscript"/>
        </w:rPr>
        <w:t>2,3</w:t>
      </w:r>
      <w:r w:rsidRPr="33D61763">
        <w:rPr>
          <w:i/>
          <w:iCs/>
          <w:sz w:val="18"/>
          <w:szCs w:val="18"/>
        </w:rPr>
        <w:t xml:space="preserve"> those types of behaviors will not be addressed in this alert. The focus of this alert is to help your organization recognize and acknowledge workplace violence directed against health care workers from patients and visitors, better prepare staff to handle violence, and more effectively address the aftermath.”</w:t>
      </w:r>
    </w:p>
    <w:p w:rsidR="006D3BFA" w:rsidRDefault="006D3BFA" w:rsidP="0049440E">
      <w:pPr>
        <w:pStyle w:val="BodyText"/>
        <w:rPr>
          <w:sz w:val="22"/>
          <w:szCs w:val="22"/>
        </w:rPr>
      </w:pPr>
    </w:p>
    <w:tbl>
      <w:tblPr>
        <w:tblStyle w:val="TableGrid"/>
        <w:tblW w:w="14485" w:type="dxa"/>
        <w:tblLayout w:type="fixed"/>
        <w:tblLook w:val="04A0" w:firstRow="1" w:lastRow="0" w:firstColumn="1" w:lastColumn="0" w:noHBand="0" w:noVBand="1"/>
      </w:tblPr>
      <w:tblGrid>
        <w:gridCol w:w="5035"/>
        <w:gridCol w:w="5760"/>
        <w:gridCol w:w="3690"/>
      </w:tblGrid>
      <w:tr w:rsidR="00A10F93" w:rsidTr="14D32F58">
        <w:trPr>
          <w:tblHeader/>
        </w:trPr>
        <w:tc>
          <w:tcPr>
            <w:tcW w:w="5035" w:type="dxa"/>
            <w:shd w:val="clear" w:color="auto" w:fill="D9D9D9" w:themeFill="background1" w:themeFillShade="D9"/>
          </w:tcPr>
          <w:p w:rsidR="00A10F93" w:rsidRPr="00AB2EAD" w:rsidRDefault="33D61763" w:rsidP="33D61763">
            <w:pPr>
              <w:pStyle w:val="Default"/>
              <w:spacing w:before="60" w:after="60"/>
              <w:jc w:val="center"/>
              <w:rPr>
                <w:rFonts w:eastAsia="Gill Sans MT,Times New Roman"/>
                <w:b/>
                <w:bCs/>
                <w:sz w:val="20"/>
                <w:szCs w:val="20"/>
              </w:rPr>
            </w:pPr>
            <w:r w:rsidRPr="00AB2EAD">
              <w:rPr>
                <w:rFonts w:eastAsia="Gill Sans MT"/>
                <w:b/>
                <w:bCs/>
                <w:sz w:val="20"/>
                <w:szCs w:val="20"/>
              </w:rPr>
              <w:t>Recommendations</w:t>
            </w:r>
          </w:p>
        </w:tc>
        <w:tc>
          <w:tcPr>
            <w:tcW w:w="5760" w:type="dxa"/>
            <w:shd w:val="clear" w:color="auto" w:fill="D9D9D9" w:themeFill="background1" w:themeFillShade="D9"/>
          </w:tcPr>
          <w:p w:rsidR="00A10F93" w:rsidRPr="00AB2EAD" w:rsidRDefault="33D61763" w:rsidP="33D61763">
            <w:pPr>
              <w:pStyle w:val="Default"/>
              <w:spacing w:before="60" w:after="60"/>
              <w:jc w:val="center"/>
              <w:rPr>
                <w:rFonts w:eastAsia="Gill Sans MT,Times New Roman"/>
                <w:b/>
                <w:bCs/>
                <w:sz w:val="20"/>
                <w:szCs w:val="20"/>
              </w:rPr>
            </w:pPr>
            <w:r w:rsidRPr="00AB2EAD">
              <w:rPr>
                <w:rFonts w:eastAsia="Gill Sans MT"/>
                <w:b/>
                <w:bCs/>
                <w:sz w:val="20"/>
                <w:szCs w:val="20"/>
              </w:rPr>
              <w:t>Current Practice/Policy</w:t>
            </w:r>
          </w:p>
        </w:tc>
        <w:tc>
          <w:tcPr>
            <w:tcW w:w="3690" w:type="dxa"/>
            <w:shd w:val="clear" w:color="auto" w:fill="D9D9D9" w:themeFill="background1" w:themeFillShade="D9"/>
          </w:tcPr>
          <w:p w:rsidR="00A10F93" w:rsidRPr="00AB2EAD" w:rsidRDefault="33D61763" w:rsidP="33D61763">
            <w:pPr>
              <w:spacing w:before="60" w:after="60"/>
              <w:jc w:val="center"/>
              <w:rPr>
                <w:rFonts w:eastAsia="Gill Sans MT,Times New Roman"/>
                <w:b/>
                <w:bCs/>
                <w:sz w:val="20"/>
                <w:szCs w:val="20"/>
              </w:rPr>
            </w:pPr>
            <w:r w:rsidRPr="00AB2EAD">
              <w:rPr>
                <w:rFonts w:eastAsia="Gill Sans MT"/>
                <w:b/>
                <w:bCs/>
                <w:sz w:val="20"/>
                <w:szCs w:val="20"/>
              </w:rPr>
              <w:t>Action Items</w:t>
            </w:r>
          </w:p>
        </w:tc>
      </w:tr>
      <w:tr w:rsidR="00A10F93" w:rsidRPr="00342C84" w:rsidTr="14D32F58">
        <w:tc>
          <w:tcPr>
            <w:tcW w:w="5035" w:type="dxa"/>
          </w:tcPr>
          <w:p w:rsidR="00550138" w:rsidRPr="00AB2EAD" w:rsidRDefault="33D61763" w:rsidP="33D61763">
            <w:pPr>
              <w:pStyle w:val="ListParagraph"/>
              <w:numPr>
                <w:ilvl w:val="0"/>
                <w:numId w:val="32"/>
              </w:numPr>
              <w:tabs>
                <w:tab w:val="left" w:pos="322"/>
              </w:tabs>
              <w:rPr>
                <w:b/>
                <w:bCs/>
                <w:sz w:val="20"/>
                <w:szCs w:val="20"/>
              </w:rPr>
            </w:pPr>
            <w:r w:rsidRPr="00AB2EAD">
              <w:rPr>
                <w:b/>
                <w:bCs/>
                <w:sz w:val="20"/>
                <w:szCs w:val="20"/>
              </w:rPr>
              <w:t>Clearly define workplace violence and put systems into place across the organization that enable staff to report workplace violence instances, including verbal abuse.</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Leadership should establish a goal of</w:t>
            </w:r>
          </w:p>
          <w:p w:rsidR="00550138" w:rsidRPr="00AB2EAD" w:rsidRDefault="33D61763" w:rsidP="00550138">
            <w:pPr>
              <w:tabs>
                <w:tab w:val="left" w:pos="322"/>
              </w:tabs>
              <w:ind w:left="322"/>
              <w:rPr>
                <w:sz w:val="20"/>
                <w:szCs w:val="20"/>
              </w:rPr>
            </w:pPr>
            <w:r w:rsidRPr="00AB2EAD">
              <w:rPr>
                <w:sz w:val="20"/>
                <w:szCs w:val="20"/>
              </w:rPr>
              <w:t>zero harm to patients and staff and, to</w:t>
            </w:r>
          </w:p>
          <w:p w:rsidR="00550138" w:rsidRPr="00AB2EAD" w:rsidRDefault="33D61763" w:rsidP="00550138">
            <w:pPr>
              <w:tabs>
                <w:tab w:val="left" w:pos="322"/>
              </w:tabs>
              <w:ind w:left="322"/>
              <w:rPr>
                <w:sz w:val="20"/>
                <w:szCs w:val="20"/>
              </w:rPr>
            </w:pPr>
            <w:r w:rsidRPr="00AB2EAD">
              <w:rPr>
                <w:sz w:val="20"/>
                <w:szCs w:val="20"/>
              </w:rPr>
              <w:t>that end, must make clear that the</w:t>
            </w:r>
          </w:p>
          <w:p w:rsidR="00550138" w:rsidRPr="00AB2EAD" w:rsidRDefault="33D61763" w:rsidP="00550138">
            <w:pPr>
              <w:tabs>
                <w:tab w:val="left" w:pos="322"/>
              </w:tabs>
              <w:ind w:left="322"/>
              <w:rPr>
                <w:sz w:val="20"/>
                <w:szCs w:val="20"/>
              </w:rPr>
            </w:pPr>
            <w:r w:rsidRPr="00AB2EAD">
              <w:rPr>
                <w:sz w:val="20"/>
                <w:szCs w:val="20"/>
              </w:rPr>
              <w:t>health care organization is responsible</w:t>
            </w:r>
          </w:p>
          <w:p w:rsidR="00550138" w:rsidRPr="00AB2EAD" w:rsidRDefault="33D61763" w:rsidP="00550138">
            <w:pPr>
              <w:tabs>
                <w:tab w:val="left" w:pos="322"/>
              </w:tabs>
              <w:ind w:left="322"/>
              <w:rPr>
                <w:sz w:val="20"/>
                <w:szCs w:val="20"/>
              </w:rPr>
            </w:pPr>
            <w:r w:rsidRPr="00AB2EAD">
              <w:rPr>
                <w:sz w:val="20"/>
                <w:szCs w:val="20"/>
              </w:rPr>
              <w:t>for identifying, addressing and reducing</w:t>
            </w:r>
          </w:p>
          <w:p w:rsidR="00550138" w:rsidRPr="00AB2EAD" w:rsidRDefault="33D61763" w:rsidP="00550138">
            <w:pPr>
              <w:tabs>
                <w:tab w:val="left" w:pos="322"/>
              </w:tabs>
              <w:ind w:left="322"/>
              <w:rPr>
                <w:sz w:val="20"/>
                <w:szCs w:val="20"/>
              </w:rPr>
            </w:pPr>
            <w:r w:rsidRPr="00AB2EAD">
              <w:rPr>
                <w:sz w:val="20"/>
                <w:szCs w:val="20"/>
              </w:rPr>
              <w:t>instances of workplace violence; that</w:t>
            </w:r>
          </w:p>
          <w:p w:rsidR="00550138" w:rsidRPr="00AB2EAD" w:rsidRDefault="33D61763" w:rsidP="00AF167D">
            <w:pPr>
              <w:tabs>
                <w:tab w:val="left" w:pos="322"/>
              </w:tabs>
              <w:ind w:left="322"/>
              <w:rPr>
                <w:sz w:val="20"/>
                <w:szCs w:val="20"/>
              </w:rPr>
            </w:pPr>
            <w:r w:rsidRPr="00AB2EAD">
              <w:rPr>
                <w:sz w:val="20"/>
                <w:szCs w:val="20"/>
              </w:rPr>
              <w:t>burden must not be placed upon victims</w:t>
            </w:r>
            <w:r w:rsidR="00AF167D">
              <w:rPr>
                <w:sz w:val="20"/>
                <w:szCs w:val="20"/>
              </w:rPr>
              <w:t xml:space="preserve"> </w:t>
            </w:r>
            <w:r w:rsidRPr="00AB2EAD">
              <w:rPr>
                <w:sz w:val="20"/>
                <w:szCs w:val="20"/>
              </w:rPr>
              <w:t>of violence.</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Emphasize the importance of reporting</w:t>
            </w:r>
          </w:p>
          <w:p w:rsidR="00550138" w:rsidRPr="00AB2EAD" w:rsidRDefault="33D61763" w:rsidP="00550138">
            <w:pPr>
              <w:tabs>
                <w:tab w:val="left" w:pos="322"/>
              </w:tabs>
              <w:ind w:left="322"/>
              <w:rPr>
                <w:sz w:val="20"/>
                <w:szCs w:val="20"/>
              </w:rPr>
            </w:pPr>
            <w:r w:rsidRPr="00AB2EAD">
              <w:rPr>
                <w:sz w:val="20"/>
                <w:szCs w:val="20"/>
              </w:rPr>
              <w:t>all events involving physical and verbal</w:t>
            </w:r>
          </w:p>
          <w:p w:rsidR="00550138" w:rsidRPr="00AB2EAD" w:rsidRDefault="33D61763" w:rsidP="00AF167D">
            <w:pPr>
              <w:tabs>
                <w:tab w:val="left" w:pos="322"/>
              </w:tabs>
              <w:ind w:left="322"/>
              <w:rPr>
                <w:sz w:val="20"/>
                <w:szCs w:val="20"/>
              </w:rPr>
            </w:pPr>
            <w:r w:rsidRPr="00AB2EAD">
              <w:rPr>
                <w:sz w:val="20"/>
                <w:szCs w:val="20"/>
              </w:rPr>
              <w:t>violence toward workers, as well as</w:t>
            </w:r>
            <w:r w:rsidR="00AF167D">
              <w:rPr>
                <w:sz w:val="20"/>
                <w:szCs w:val="20"/>
              </w:rPr>
              <w:t xml:space="preserve"> </w:t>
            </w:r>
            <w:r w:rsidRPr="00AB2EAD">
              <w:rPr>
                <w:sz w:val="20"/>
                <w:szCs w:val="20"/>
              </w:rPr>
              <w:t>patients and visitors.</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Encourage conversations about</w:t>
            </w:r>
          </w:p>
          <w:p w:rsidR="00550138" w:rsidRPr="00AB2EAD" w:rsidRDefault="33D61763" w:rsidP="00550138">
            <w:pPr>
              <w:tabs>
                <w:tab w:val="left" w:pos="322"/>
              </w:tabs>
              <w:ind w:left="322"/>
              <w:rPr>
                <w:sz w:val="20"/>
                <w:szCs w:val="20"/>
              </w:rPr>
            </w:pPr>
            <w:r w:rsidRPr="00AB2EAD">
              <w:rPr>
                <w:sz w:val="20"/>
                <w:szCs w:val="20"/>
              </w:rPr>
              <w:t>workplace violence during daily unit</w:t>
            </w:r>
          </w:p>
          <w:p w:rsidR="00550138" w:rsidRPr="00AB2EAD" w:rsidRDefault="33D61763" w:rsidP="00550138">
            <w:pPr>
              <w:tabs>
                <w:tab w:val="left" w:pos="322"/>
              </w:tabs>
              <w:ind w:left="322"/>
              <w:rPr>
                <w:sz w:val="20"/>
                <w:szCs w:val="20"/>
              </w:rPr>
            </w:pPr>
            <w:r w:rsidRPr="00AB2EAD">
              <w:rPr>
                <w:sz w:val="20"/>
                <w:szCs w:val="20"/>
              </w:rPr>
              <w:t>huddles, including team leaders asking</w:t>
            </w:r>
          </w:p>
          <w:p w:rsidR="00550138" w:rsidRPr="00AB2EAD" w:rsidRDefault="33D61763" w:rsidP="00550138">
            <w:pPr>
              <w:tabs>
                <w:tab w:val="left" w:pos="322"/>
              </w:tabs>
              <w:ind w:left="322"/>
              <w:rPr>
                <w:sz w:val="20"/>
                <w:szCs w:val="20"/>
              </w:rPr>
            </w:pPr>
            <w:r w:rsidRPr="00AB2EAD">
              <w:rPr>
                <w:sz w:val="20"/>
                <w:szCs w:val="20"/>
              </w:rPr>
              <w:t>each day if any team members have</w:t>
            </w:r>
          </w:p>
          <w:p w:rsidR="00550138" w:rsidRPr="00AB2EAD" w:rsidRDefault="33D61763" w:rsidP="00550138">
            <w:pPr>
              <w:tabs>
                <w:tab w:val="left" w:pos="322"/>
              </w:tabs>
              <w:ind w:left="322"/>
              <w:rPr>
                <w:sz w:val="20"/>
                <w:szCs w:val="20"/>
              </w:rPr>
            </w:pPr>
            <w:r w:rsidRPr="00AB2EAD">
              <w:rPr>
                <w:sz w:val="20"/>
                <w:szCs w:val="20"/>
              </w:rPr>
              <w:t>been victims of physical or verbal abuse</w:t>
            </w:r>
          </w:p>
          <w:p w:rsidR="00550138" w:rsidRPr="00AB2EAD" w:rsidRDefault="33D61763" w:rsidP="00550138">
            <w:pPr>
              <w:tabs>
                <w:tab w:val="left" w:pos="322"/>
              </w:tabs>
              <w:ind w:left="322"/>
              <w:rPr>
                <w:sz w:val="20"/>
                <w:szCs w:val="20"/>
              </w:rPr>
            </w:pPr>
            <w:r w:rsidRPr="00AB2EAD">
              <w:rPr>
                <w:sz w:val="20"/>
                <w:szCs w:val="20"/>
              </w:rPr>
              <w:t>or if any patients or family situations</w:t>
            </w:r>
          </w:p>
          <w:p w:rsidR="00550138" w:rsidRPr="00AB2EAD" w:rsidRDefault="33D61763" w:rsidP="00E04ACE">
            <w:pPr>
              <w:tabs>
                <w:tab w:val="left" w:pos="322"/>
              </w:tabs>
              <w:ind w:left="322"/>
              <w:rPr>
                <w:sz w:val="20"/>
                <w:szCs w:val="20"/>
              </w:rPr>
            </w:pPr>
            <w:r w:rsidRPr="00AB2EAD">
              <w:rPr>
                <w:sz w:val="20"/>
                <w:szCs w:val="20"/>
              </w:rPr>
              <w:t>may be prone to violence.</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Develop systems or tools to help staff</w:t>
            </w:r>
          </w:p>
          <w:p w:rsidR="00550138" w:rsidRPr="00AB2EAD" w:rsidRDefault="33D61763" w:rsidP="00550138">
            <w:pPr>
              <w:tabs>
                <w:tab w:val="left" w:pos="322"/>
              </w:tabs>
              <w:ind w:left="322"/>
              <w:rPr>
                <w:sz w:val="20"/>
                <w:szCs w:val="20"/>
              </w:rPr>
            </w:pPr>
            <w:r w:rsidRPr="00AB2EAD">
              <w:rPr>
                <w:sz w:val="20"/>
                <w:szCs w:val="20"/>
              </w:rPr>
              <w:t>identify the potential for violence, such</w:t>
            </w:r>
          </w:p>
          <w:p w:rsidR="00550138" w:rsidRPr="00AB2EAD" w:rsidRDefault="33D61763" w:rsidP="00550138">
            <w:pPr>
              <w:tabs>
                <w:tab w:val="left" w:pos="322"/>
              </w:tabs>
              <w:ind w:left="322"/>
              <w:rPr>
                <w:sz w:val="20"/>
                <w:szCs w:val="20"/>
              </w:rPr>
            </w:pPr>
            <w:r w:rsidRPr="00AB2EAD">
              <w:rPr>
                <w:sz w:val="20"/>
                <w:szCs w:val="20"/>
              </w:rPr>
              <w:t>as a checklist or questionnaire that asks</w:t>
            </w:r>
          </w:p>
          <w:p w:rsidR="00550138" w:rsidRPr="00AB2EAD" w:rsidRDefault="33D61763" w:rsidP="00550138">
            <w:pPr>
              <w:tabs>
                <w:tab w:val="left" w:pos="322"/>
              </w:tabs>
              <w:ind w:left="322"/>
              <w:rPr>
                <w:sz w:val="20"/>
                <w:szCs w:val="20"/>
              </w:rPr>
            </w:pPr>
            <w:r w:rsidRPr="00AB2EAD">
              <w:rPr>
                <w:sz w:val="20"/>
                <w:szCs w:val="20"/>
              </w:rPr>
              <w:t>if a patient is irritable, confused or</w:t>
            </w:r>
          </w:p>
          <w:p w:rsidR="00550138" w:rsidRPr="00AB2EAD" w:rsidRDefault="33D61763" w:rsidP="00550138">
            <w:pPr>
              <w:tabs>
                <w:tab w:val="left" w:pos="322"/>
              </w:tabs>
              <w:ind w:left="322"/>
              <w:rPr>
                <w:sz w:val="20"/>
                <w:szCs w:val="20"/>
              </w:rPr>
            </w:pPr>
            <w:r w:rsidRPr="00AB2EAD">
              <w:rPr>
                <w:sz w:val="20"/>
                <w:szCs w:val="20"/>
              </w:rPr>
              <w:t>threatening.</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Develop a protocol, guidance and</w:t>
            </w:r>
          </w:p>
          <w:p w:rsidR="00550138" w:rsidRPr="00AB2EAD" w:rsidRDefault="33D61763" w:rsidP="00550138">
            <w:pPr>
              <w:tabs>
                <w:tab w:val="left" w:pos="322"/>
              </w:tabs>
              <w:ind w:left="322"/>
              <w:rPr>
                <w:sz w:val="20"/>
                <w:szCs w:val="20"/>
              </w:rPr>
            </w:pPr>
            <w:r w:rsidRPr="00AB2EAD">
              <w:rPr>
                <w:sz w:val="20"/>
                <w:szCs w:val="20"/>
              </w:rPr>
              <w:t>training about the reporting required by</w:t>
            </w:r>
          </w:p>
          <w:p w:rsidR="00550138" w:rsidRPr="00AB2EAD" w:rsidRDefault="33D61763" w:rsidP="00550138">
            <w:pPr>
              <w:tabs>
                <w:tab w:val="left" w:pos="322"/>
              </w:tabs>
              <w:ind w:left="322"/>
              <w:rPr>
                <w:sz w:val="20"/>
                <w:szCs w:val="20"/>
              </w:rPr>
            </w:pPr>
            <w:r w:rsidRPr="00AB2EAD">
              <w:rPr>
                <w:sz w:val="20"/>
                <w:szCs w:val="20"/>
              </w:rPr>
              <w:t>the hospital safety team, OSHA, police,</w:t>
            </w:r>
          </w:p>
          <w:p w:rsidR="00550138" w:rsidRPr="00AB2EAD" w:rsidRDefault="33D61763" w:rsidP="00550138">
            <w:pPr>
              <w:tabs>
                <w:tab w:val="left" w:pos="322"/>
              </w:tabs>
              <w:ind w:left="322"/>
              <w:rPr>
                <w:sz w:val="20"/>
                <w:szCs w:val="20"/>
              </w:rPr>
            </w:pPr>
            <w:r w:rsidRPr="00AB2EAD">
              <w:rPr>
                <w:sz w:val="20"/>
                <w:szCs w:val="20"/>
              </w:rPr>
              <w:t>and state authorities. For example,</w:t>
            </w:r>
          </w:p>
          <w:p w:rsidR="00550138" w:rsidRPr="00AB2EAD" w:rsidRDefault="33D61763" w:rsidP="00550138">
            <w:pPr>
              <w:tabs>
                <w:tab w:val="left" w:pos="322"/>
              </w:tabs>
              <w:ind w:left="322"/>
              <w:rPr>
                <w:sz w:val="20"/>
                <w:szCs w:val="20"/>
              </w:rPr>
            </w:pPr>
            <w:r w:rsidRPr="00AB2EAD">
              <w:rPr>
                <w:sz w:val="20"/>
                <w:szCs w:val="20"/>
              </w:rPr>
              <w:t>Western Connecticut Health Network</w:t>
            </w:r>
          </w:p>
          <w:p w:rsidR="00550138" w:rsidRPr="00AB2EAD" w:rsidRDefault="33D61763" w:rsidP="00550138">
            <w:pPr>
              <w:tabs>
                <w:tab w:val="left" w:pos="322"/>
              </w:tabs>
              <w:ind w:left="322"/>
              <w:rPr>
                <w:sz w:val="20"/>
                <w:szCs w:val="20"/>
              </w:rPr>
            </w:pPr>
            <w:r w:rsidRPr="00AB2EAD">
              <w:rPr>
                <w:sz w:val="20"/>
                <w:szCs w:val="20"/>
              </w:rPr>
              <w:lastRenderedPageBreak/>
              <w:t>developed a protocol to be used after</w:t>
            </w:r>
          </w:p>
          <w:p w:rsidR="00550138" w:rsidRPr="00AB2EAD" w:rsidRDefault="33D61763" w:rsidP="00550138">
            <w:pPr>
              <w:tabs>
                <w:tab w:val="left" w:pos="322"/>
              </w:tabs>
              <w:ind w:left="322"/>
              <w:rPr>
                <w:sz w:val="20"/>
                <w:szCs w:val="20"/>
              </w:rPr>
            </w:pPr>
            <w:r w:rsidRPr="00AB2EAD">
              <w:rPr>
                <w:sz w:val="20"/>
                <w:szCs w:val="20"/>
              </w:rPr>
              <w:t>incidents of workplace violence against</w:t>
            </w:r>
          </w:p>
          <w:p w:rsidR="00550138" w:rsidRPr="00AB2EAD" w:rsidRDefault="33D61763" w:rsidP="00550138">
            <w:pPr>
              <w:tabs>
                <w:tab w:val="left" w:pos="322"/>
              </w:tabs>
              <w:ind w:left="322"/>
              <w:rPr>
                <w:sz w:val="20"/>
                <w:szCs w:val="20"/>
              </w:rPr>
            </w:pPr>
            <w:r w:rsidRPr="00AB2EAD">
              <w:rPr>
                <w:sz w:val="20"/>
                <w:szCs w:val="20"/>
              </w:rPr>
              <w:t>employees.</w:t>
            </w:r>
            <w:r w:rsidRPr="00AB2EAD">
              <w:rPr>
                <w:sz w:val="20"/>
                <w:szCs w:val="20"/>
                <w:vertAlign w:val="superscript"/>
              </w:rPr>
              <w:t>45</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Create simple, trusted, and secure</w:t>
            </w:r>
          </w:p>
          <w:p w:rsidR="00550138" w:rsidRPr="00AB2EAD" w:rsidRDefault="33D61763" w:rsidP="00550138">
            <w:pPr>
              <w:tabs>
                <w:tab w:val="left" w:pos="322"/>
              </w:tabs>
              <w:ind w:left="322"/>
              <w:rPr>
                <w:sz w:val="20"/>
                <w:szCs w:val="20"/>
              </w:rPr>
            </w:pPr>
            <w:r w:rsidRPr="00AB2EAD">
              <w:rPr>
                <w:sz w:val="20"/>
                <w:szCs w:val="20"/>
              </w:rPr>
              <w:t>reporting systems that result in</w:t>
            </w:r>
          </w:p>
          <w:p w:rsidR="00550138" w:rsidRPr="00AB2EAD" w:rsidRDefault="33D61763" w:rsidP="00550138">
            <w:pPr>
              <w:tabs>
                <w:tab w:val="left" w:pos="322"/>
              </w:tabs>
              <w:ind w:left="322"/>
              <w:rPr>
                <w:sz w:val="20"/>
                <w:szCs w:val="20"/>
              </w:rPr>
            </w:pPr>
            <w:r w:rsidRPr="00AB2EAD">
              <w:rPr>
                <w:sz w:val="20"/>
                <w:szCs w:val="20"/>
              </w:rPr>
              <w:t>transparent outcomes, and are fully</w:t>
            </w:r>
          </w:p>
          <w:p w:rsidR="00550138" w:rsidRPr="00AB2EAD" w:rsidRDefault="33D61763" w:rsidP="00550138">
            <w:pPr>
              <w:tabs>
                <w:tab w:val="left" w:pos="322"/>
              </w:tabs>
              <w:ind w:left="322"/>
              <w:rPr>
                <w:sz w:val="20"/>
                <w:szCs w:val="20"/>
              </w:rPr>
            </w:pPr>
            <w:r w:rsidRPr="00AB2EAD">
              <w:rPr>
                <w:sz w:val="20"/>
                <w:szCs w:val="20"/>
              </w:rPr>
              <w:t>supported by leadership, management,</w:t>
            </w:r>
          </w:p>
          <w:p w:rsidR="00550138" w:rsidRPr="00AB2EAD" w:rsidRDefault="33D61763" w:rsidP="00550138">
            <w:pPr>
              <w:tabs>
                <w:tab w:val="left" w:pos="322"/>
              </w:tabs>
              <w:ind w:left="322"/>
              <w:rPr>
                <w:sz w:val="20"/>
                <w:szCs w:val="20"/>
              </w:rPr>
            </w:pPr>
            <w:r w:rsidRPr="00AB2EAD">
              <w:rPr>
                <w:sz w:val="20"/>
                <w:szCs w:val="20"/>
              </w:rPr>
              <w:t>and labor unions.</w:t>
            </w:r>
            <w:r w:rsidRPr="00AB2EAD">
              <w:rPr>
                <w:sz w:val="20"/>
                <w:szCs w:val="20"/>
                <w:vertAlign w:val="superscript"/>
              </w:rPr>
              <w:t>46</w:t>
            </w:r>
            <w:r w:rsidRPr="00AB2EAD">
              <w:rPr>
                <w:sz w:val="20"/>
                <w:szCs w:val="20"/>
              </w:rPr>
              <w:t xml:space="preserve"> Protect patient and</w:t>
            </w:r>
          </w:p>
          <w:p w:rsidR="00550138" w:rsidRPr="00AB2EAD" w:rsidRDefault="33D61763" w:rsidP="00550138">
            <w:pPr>
              <w:tabs>
                <w:tab w:val="left" w:pos="322"/>
              </w:tabs>
              <w:ind w:left="322"/>
              <w:rPr>
                <w:sz w:val="20"/>
                <w:szCs w:val="20"/>
              </w:rPr>
            </w:pPr>
            <w:r w:rsidRPr="00AB2EAD">
              <w:rPr>
                <w:sz w:val="20"/>
                <w:szCs w:val="20"/>
              </w:rPr>
              <w:t>worker confidentiality in all reporting by</w:t>
            </w:r>
          </w:p>
          <w:p w:rsidR="00550138" w:rsidRPr="00AB2EAD" w:rsidRDefault="33D61763" w:rsidP="00550138">
            <w:pPr>
              <w:tabs>
                <w:tab w:val="left" w:pos="322"/>
              </w:tabs>
              <w:ind w:left="322"/>
              <w:rPr>
                <w:sz w:val="20"/>
                <w:szCs w:val="20"/>
              </w:rPr>
            </w:pPr>
            <w:r w:rsidRPr="00AB2EAD">
              <w:rPr>
                <w:sz w:val="20"/>
                <w:szCs w:val="20"/>
              </w:rPr>
              <w:t>presenting only aggregate data or</w:t>
            </w:r>
          </w:p>
          <w:p w:rsidR="00550138" w:rsidRPr="00AB2EAD" w:rsidRDefault="33D61763" w:rsidP="00550138">
            <w:pPr>
              <w:tabs>
                <w:tab w:val="left" w:pos="322"/>
              </w:tabs>
              <w:ind w:left="322"/>
              <w:rPr>
                <w:sz w:val="20"/>
                <w:szCs w:val="20"/>
              </w:rPr>
            </w:pPr>
            <w:r w:rsidRPr="00AB2EAD">
              <w:rPr>
                <w:sz w:val="20"/>
                <w:szCs w:val="20"/>
              </w:rPr>
              <w:t>removing personal identifiers.</w:t>
            </w:r>
            <w:r w:rsidRPr="00AB2EAD">
              <w:rPr>
                <w:sz w:val="20"/>
                <w:szCs w:val="20"/>
                <w:vertAlign w:val="superscript"/>
              </w:rPr>
              <w:t>10</w:t>
            </w:r>
          </w:p>
          <w:p w:rsidR="008D4D43" w:rsidRPr="00AB2EAD" w:rsidRDefault="008D4D43" w:rsidP="00550138">
            <w:pPr>
              <w:tabs>
                <w:tab w:val="left" w:pos="322"/>
              </w:tabs>
              <w:ind w:left="322"/>
              <w:rPr>
                <w:sz w:val="20"/>
                <w:szCs w:val="20"/>
              </w:rPr>
            </w:pPr>
          </w:p>
          <w:p w:rsidR="00550138" w:rsidRPr="00AB2EAD" w:rsidRDefault="33D61763" w:rsidP="00550138">
            <w:pPr>
              <w:tabs>
                <w:tab w:val="left" w:pos="322"/>
              </w:tabs>
              <w:ind w:left="322"/>
              <w:rPr>
                <w:sz w:val="20"/>
                <w:szCs w:val="20"/>
              </w:rPr>
            </w:pPr>
            <w:r w:rsidRPr="00AB2EAD">
              <w:rPr>
                <w:sz w:val="20"/>
                <w:szCs w:val="20"/>
              </w:rPr>
              <w:t>• Remove all impediments to staff</w:t>
            </w:r>
          </w:p>
          <w:p w:rsidR="00550138" w:rsidRPr="00AB2EAD" w:rsidRDefault="33D61763" w:rsidP="00550138">
            <w:pPr>
              <w:tabs>
                <w:tab w:val="left" w:pos="322"/>
              </w:tabs>
              <w:ind w:left="322"/>
              <w:rPr>
                <w:sz w:val="20"/>
                <w:szCs w:val="20"/>
              </w:rPr>
            </w:pPr>
            <w:r w:rsidRPr="00AB2EAD">
              <w:rPr>
                <w:sz w:val="20"/>
                <w:szCs w:val="20"/>
              </w:rPr>
              <w:t>reporting incidents of violence toward</w:t>
            </w:r>
          </w:p>
          <w:p w:rsidR="00550138" w:rsidRPr="00AB2EAD" w:rsidRDefault="33D61763" w:rsidP="00550138">
            <w:pPr>
              <w:tabs>
                <w:tab w:val="left" w:pos="322"/>
              </w:tabs>
              <w:ind w:left="322"/>
              <w:rPr>
                <w:sz w:val="20"/>
                <w:szCs w:val="20"/>
              </w:rPr>
            </w:pPr>
            <w:r w:rsidRPr="00AB2EAD">
              <w:rPr>
                <w:sz w:val="20"/>
                <w:szCs w:val="20"/>
              </w:rPr>
              <w:t>workers – such as retribution or</w:t>
            </w:r>
          </w:p>
          <w:p w:rsidR="00550138" w:rsidRPr="00AB2EAD" w:rsidRDefault="33D61763" w:rsidP="00550138">
            <w:pPr>
              <w:tabs>
                <w:tab w:val="left" w:pos="322"/>
              </w:tabs>
              <w:ind w:left="322"/>
              <w:rPr>
                <w:sz w:val="20"/>
                <w:szCs w:val="20"/>
              </w:rPr>
            </w:pPr>
            <w:r w:rsidRPr="00AB2EAD">
              <w:rPr>
                <w:sz w:val="20"/>
                <w:szCs w:val="20"/>
              </w:rPr>
              <w:t>disapproval of supervisors or co-workers</w:t>
            </w:r>
          </w:p>
          <w:p w:rsidR="00550138" w:rsidRPr="00AB2EAD" w:rsidRDefault="33D61763" w:rsidP="00550138">
            <w:pPr>
              <w:tabs>
                <w:tab w:val="left" w:pos="322"/>
              </w:tabs>
              <w:ind w:left="322"/>
              <w:rPr>
                <w:sz w:val="20"/>
                <w:szCs w:val="20"/>
              </w:rPr>
            </w:pPr>
            <w:r w:rsidRPr="00AB2EAD">
              <w:rPr>
                <w:sz w:val="20"/>
                <w:szCs w:val="20"/>
              </w:rPr>
              <w:t>and a lack of follow-up or positive</w:t>
            </w:r>
          </w:p>
          <w:p w:rsidR="00A10F93" w:rsidRPr="00AB2EAD" w:rsidRDefault="33D61763" w:rsidP="00550138">
            <w:pPr>
              <w:tabs>
                <w:tab w:val="left" w:pos="322"/>
              </w:tabs>
              <w:ind w:left="322"/>
              <w:rPr>
                <w:sz w:val="20"/>
                <w:szCs w:val="20"/>
              </w:rPr>
            </w:pPr>
            <w:r w:rsidRPr="00AB2EAD">
              <w:rPr>
                <w:sz w:val="20"/>
                <w:szCs w:val="20"/>
              </w:rPr>
              <w:t>recognition from leadership.</w:t>
            </w:r>
            <w:r w:rsidRPr="00AB2EAD">
              <w:rPr>
                <w:sz w:val="20"/>
                <w:szCs w:val="20"/>
                <w:vertAlign w:val="superscript"/>
              </w:rPr>
              <w:t>10,25</w:t>
            </w:r>
          </w:p>
        </w:tc>
        <w:tc>
          <w:tcPr>
            <w:tcW w:w="5760" w:type="dxa"/>
          </w:tcPr>
          <w:p w:rsidR="008D4D43" w:rsidRPr="00AB2EAD" w:rsidRDefault="008D4D43" w:rsidP="00A10F93">
            <w:pPr>
              <w:pStyle w:val="BodyText"/>
            </w:pPr>
          </w:p>
        </w:tc>
        <w:tc>
          <w:tcPr>
            <w:tcW w:w="3690" w:type="dxa"/>
          </w:tcPr>
          <w:p w:rsidR="00500080" w:rsidRPr="00AB2EAD" w:rsidRDefault="00500080" w:rsidP="00A10F93">
            <w:pPr>
              <w:pStyle w:val="BodyText"/>
            </w:pPr>
          </w:p>
        </w:tc>
      </w:tr>
      <w:tr w:rsidR="00A10F93" w:rsidRPr="00AB2EAD" w:rsidTr="14D32F58">
        <w:tc>
          <w:tcPr>
            <w:tcW w:w="5035" w:type="dxa"/>
          </w:tcPr>
          <w:p w:rsidR="00115F4F" w:rsidRPr="00AB2EAD" w:rsidRDefault="33D61763" w:rsidP="33D61763">
            <w:pPr>
              <w:pStyle w:val="ListParagraph"/>
              <w:numPr>
                <w:ilvl w:val="0"/>
                <w:numId w:val="32"/>
              </w:numPr>
              <w:tabs>
                <w:tab w:val="left" w:pos="322"/>
              </w:tabs>
              <w:ind w:right="130"/>
              <w:rPr>
                <w:b/>
                <w:bCs/>
                <w:sz w:val="20"/>
                <w:szCs w:val="20"/>
              </w:rPr>
            </w:pPr>
            <w:r w:rsidRPr="00AB2EAD">
              <w:rPr>
                <w:b/>
                <w:bCs/>
                <w:sz w:val="20"/>
                <w:szCs w:val="20"/>
              </w:rPr>
              <w:t xml:space="preserve">Recognizing that data come from several sources, capture, track and trend all reports of workplace violence – including verbal abuse and attempted assaults when no harm occurred. </w:t>
            </w:r>
          </w:p>
          <w:p w:rsidR="008D4D43" w:rsidRPr="00AB2EAD" w:rsidRDefault="008D4D43" w:rsidP="00115F4F">
            <w:pPr>
              <w:pStyle w:val="ListParagraph"/>
              <w:tabs>
                <w:tab w:val="left" w:pos="322"/>
              </w:tabs>
              <w:ind w:left="360" w:right="130" w:firstLine="0"/>
              <w:rPr>
                <w:sz w:val="20"/>
                <w:szCs w:val="20"/>
              </w:rPr>
            </w:pPr>
          </w:p>
          <w:p w:rsidR="00115F4F" w:rsidRPr="00AB2EAD" w:rsidRDefault="33D61763" w:rsidP="00115F4F">
            <w:pPr>
              <w:pStyle w:val="ListParagraph"/>
              <w:tabs>
                <w:tab w:val="left" w:pos="322"/>
              </w:tabs>
              <w:ind w:left="360" w:right="130" w:firstLine="0"/>
              <w:rPr>
                <w:sz w:val="20"/>
                <w:szCs w:val="20"/>
              </w:rPr>
            </w:pPr>
            <w:r w:rsidRPr="00AB2EAD">
              <w:rPr>
                <w:sz w:val="20"/>
                <w:szCs w:val="20"/>
              </w:rPr>
              <w:t xml:space="preserve">• Gather this information from all hospital databases, including those used for OSHA, insurance, security, human resources, complaints, employee surveys, legal or risk management purposes, and from change of shift reports or huddles. </w:t>
            </w:r>
          </w:p>
          <w:p w:rsidR="008D4D43" w:rsidRPr="00AB2EAD" w:rsidRDefault="008D4D43" w:rsidP="00115F4F">
            <w:pPr>
              <w:pStyle w:val="ListParagraph"/>
              <w:tabs>
                <w:tab w:val="left" w:pos="322"/>
              </w:tabs>
              <w:ind w:left="360" w:right="130" w:firstLine="0"/>
              <w:rPr>
                <w:sz w:val="20"/>
                <w:szCs w:val="20"/>
              </w:rPr>
            </w:pPr>
          </w:p>
          <w:p w:rsidR="00115F4F" w:rsidRPr="00AB2EAD" w:rsidRDefault="33D61763" w:rsidP="00115F4F">
            <w:pPr>
              <w:pStyle w:val="ListParagraph"/>
              <w:tabs>
                <w:tab w:val="left" w:pos="322"/>
              </w:tabs>
              <w:ind w:left="360" w:right="130" w:firstLine="0"/>
              <w:rPr>
                <w:sz w:val="20"/>
                <w:szCs w:val="20"/>
              </w:rPr>
            </w:pPr>
            <w:r w:rsidRPr="00AB2EAD">
              <w:rPr>
                <w:sz w:val="20"/>
                <w:szCs w:val="20"/>
              </w:rPr>
              <w:t xml:space="preserve">• Regularly distribute these workplace violence reports throughout the organization, including to the quality committee and up to the executive and governance levels. </w:t>
            </w:r>
          </w:p>
          <w:p w:rsidR="008D4D43" w:rsidRPr="00AB2EAD" w:rsidRDefault="008D4D43" w:rsidP="00115F4F">
            <w:pPr>
              <w:pStyle w:val="ListParagraph"/>
              <w:tabs>
                <w:tab w:val="left" w:pos="322"/>
              </w:tabs>
              <w:ind w:left="360" w:right="130" w:firstLine="0"/>
              <w:rPr>
                <w:sz w:val="20"/>
                <w:szCs w:val="20"/>
              </w:rPr>
            </w:pPr>
          </w:p>
          <w:p w:rsidR="00B3591C" w:rsidRPr="00AB2EAD" w:rsidRDefault="33D61763" w:rsidP="00115F4F">
            <w:pPr>
              <w:pStyle w:val="ListParagraph"/>
              <w:tabs>
                <w:tab w:val="left" w:pos="322"/>
              </w:tabs>
              <w:ind w:left="360" w:right="130" w:firstLine="0"/>
              <w:rPr>
                <w:sz w:val="20"/>
                <w:szCs w:val="20"/>
              </w:rPr>
            </w:pPr>
            <w:r w:rsidRPr="00AB2EAD">
              <w:rPr>
                <w:sz w:val="20"/>
                <w:szCs w:val="20"/>
              </w:rPr>
              <w:t>• Aggregate and report incidents to external organizations that maintain a centralized database. This can lead to identification of new hazards, trends, and potential strategies for solutions; these solutions can then be shared broadly.</w:t>
            </w:r>
            <w:r w:rsidRPr="00AB2EAD">
              <w:rPr>
                <w:sz w:val="20"/>
                <w:szCs w:val="20"/>
                <w:vertAlign w:val="superscript"/>
              </w:rPr>
              <w:t>27</w:t>
            </w:r>
          </w:p>
        </w:tc>
        <w:tc>
          <w:tcPr>
            <w:tcW w:w="5760" w:type="dxa"/>
          </w:tcPr>
          <w:p w:rsidR="000F0745" w:rsidRPr="00AB2EAD" w:rsidRDefault="000F0745" w:rsidP="00A10F93">
            <w:pPr>
              <w:pStyle w:val="BodyText"/>
            </w:pPr>
          </w:p>
        </w:tc>
        <w:tc>
          <w:tcPr>
            <w:tcW w:w="3690" w:type="dxa"/>
          </w:tcPr>
          <w:p w:rsidR="003E66AF" w:rsidRPr="00AB2EAD" w:rsidRDefault="003E66AF" w:rsidP="00A10F93">
            <w:pPr>
              <w:pStyle w:val="BodyText"/>
            </w:pPr>
          </w:p>
        </w:tc>
      </w:tr>
      <w:tr w:rsidR="00A10F93" w:rsidRPr="00AB2EAD" w:rsidTr="14D32F58">
        <w:tc>
          <w:tcPr>
            <w:tcW w:w="5035" w:type="dxa"/>
          </w:tcPr>
          <w:p w:rsidR="00B3591C" w:rsidRPr="00AB2EAD" w:rsidRDefault="33D61763" w:rsidP="33D61763">
            <w:pPr>
              <w:pStyle w:val="ListParagraph"/>
              <w:numPr>
                <w:ilvl w:val="0"/>
                <w:numId w:val="32"/>
              </w:numPr>
              <w:tabs>
                <w:tab w:val="left" w:pos="322"/>
              </w:tabs>
              <w:rPr>
                <w:b/>
                <w:bCs/>
                <w:sz w:val="20"/>
                <w:szCs w:val="20"/>
              </w:rPr>
            </w:pPr>
            <w:r w:rsidRPr="00AB2EAD">
              <w:rPr>
                <w:b/>
                <w:bCs/>
                <w:sz w:val="20"/>
                <w:szCs w:val="20"/>
              </w:rPr>
              <w:t xml:space="preserve">Provide appropriate follow-up and support to </w:t>
            </w:r>
            <w:r w:rsidRPr="00AB2EAD">
              <w:rPr>
                <w:b/>
                <w:bCs/>
                <w:sz w:val="20"/>
                <w:szCs w:val="20"/>
              </w:rPr>
              <w:lastRenderedPageBreak/>
              <w:t>victims, witnesses and others affected by workplace violence, including psychological counseling and trauma-informed care if necessary.</w:t>
            </w:r>
            <w:r w:rsidRPr="00AB2EAD">
              <w:rPr>
                <w:b/>
                <w:bCs/>
                <w:sz w:val="20"/>
                <w:szCs w:val="20"/>
                <w:vertAlign w:val="superscript"/>
              </w:rPr>
              <w:t>10,11,25</w:t>
            </w:r>
          </w:p>
          <w:p w:rsidR="009E2A04" w:rsidRPr="00AB2EAD" w:rsidRDefault="009E2A04" w:rsidP="009E2A04">
            <w:pPr>
              <w:pStyle w:val="ListParagraph"/>
              <w:tabs>
                <w:tab w:val="left" w:pos="322"/>
              </w:tabs>
              <w:ind w:left="360" w:firstLine="0"/>
              <w:rPr>
                <w:b/>
                <w:sz w:val="20"/>
                <w:szCs w:val="20"/>
              </w:rPr>
            </w:pPr>
          </w:p>
        </w:tc>
        <w:tc>
          <w:tcPr>
            <w:tcW w:w="5760" w:type="dxa"/>
          </w:tcPr>
          <w:p w:rsidR="005B0AF6" w:rsidRPr="00AB2EAD" w:rsidRDefault="005B0AF6" w:rsidP="00DD6B64">
            <w:pPr>
              <w:pStyle w:val="BodyText"/>
            </w:pPr>
          </w:p>
        </w:tc>
        <w:tc>
          <w:tcPr>
            <w:tcW w:w="3690" w:type="dxa"/>
          </w:tcPr>
          <w:p w:rsidR="00A10F93" w:rsidRPr="00AB2EAD" w:rsidRDefault="00A10F93" w:rsidP="003E66AF">
            <w:pPr>
              <w:pStyle w:val="BodyText"/>
            </w:pPr>
          </w:p>
        </w:tc>
      </w:tr>
      <w:tr w:rsidR="00A10F93" w:rsidRPr="00AB2EAD" w:rsidTr="14D32F58">
        <w:tc>
          <w:tcPr>
            <w:tcW w:w="5035" w:type="dxa"/>
          </w:tcPr>
          <w:p w:rsidR="00115F4F" w:rsidRPr="00AB2EAD" w:rsidRDefault="33D61763" w:rsidP="33D61763">
            <w:pPr>
              <w:pStyle w:val="BodyText"/>
              <w:numPr>
                <w:ilvl w:val="0"/>
                <w:numId w:val="32"/>
              </w:numPr>
              <w:rPr>
                <w:b/>
                <w:bCs/>
              </w:rPr>
            </w:pPr>
            <w:r w:rsidRPr="00AB2EAD">
              <w:rPr>
                <w:b/>
                <w:bCs/>
              </w:rPr>
              <w:t xml:space="preserve">Review each case of workplace violence to determine contributing factors. Analyze data related to workplace violence, and worksite conditions, to determine priority situations for intervention. </w:t>
            </w:r>
          </w:p>
          <w:p w:rsidR="008D4D43" w:rsidRPr="00AB2EAD" w:rsidRDefault="008D4D43" w:rsidP="00115F4F">
            <w:pPr>
              <w:pStyle w:val="BodyText"/>
              <w:ind w:left="360"/>
            </w:pPr>
          </w:p>
          <w:p w:rsidR="00115F4F" w:rsidRPr="00AB2EAD" w:rsidRDefault="33D61763" w:rsidP="00115F4F">
            <w:pPr>
              <w:pStyle w:val="BodyText"/>
              <w:ind w:left="360"/>
            </w:pPr>
            <w:r w:rsidRPr="00AB2EAD">
              <w:t>• According to OSHA, this process includes a worksite analysis and hazard identification (for example, risk assessment).</w:t>
            </w:r>
            <w:r w:rsidRPr="00AB2EAD">
              <w:rPr>
                <w:vertAlign w:val="superscript"/>
              </w:rPr>
              <w:t>10</w:t>
            </w:r>
            <w:r w:rsidRPr="00AB2EAD">
              <w:t xml:space="preserve"> To determine trends and “hot spots,” analyze where, when, why and how violence has occurred and to whom. This process can include a review of workers’ compensation, insurance records, OSHA logs and other data relating to workplace violence, as well as an analysis of factors (such as staffing levels) that can contribute to or reduce the likelihood of violence occurring.</w:t>
            </w:r>
            <w:r w:rsidRPr="00AB2EAD">
              <w:rPr>
                <w:vertAlign w:val="superscript"/>
              </w:rPr>
              <w:t>10</w:t>
            </w:r>
            <w:r w:rsidRPr="00AB2EAD">
              <w:t xml:space="preserve"> </w:t>
            </w:r>
          </w:p>
          <w:p w:rsidR="008D4D43" w:rsidRPr="00AB2EAD" w:rsidRDefault="008D4D43" w:rsidP="00115F4F">
            <w:pPr>
              <w:pStyle w:val="BodyText"/>
              <w:ind w:left="360"/>
            </w:pPr>
          </w:p>
          <w:p w:rsidR="00E1707C" w:rsidRDefault="33D61763" w:rsidP="00115F4F">
            <w:pPr>
              <w:pStyle w:val="BodyText"/>
              <w:ind w:left="360"/>
            </w:pPr>
            <w:r w:rsidRPr="00AB2EAD">
              <w:t>• Demonstrate the value and necessity of reporting by communicating to staff the risk assessment findings and the interventions taken to immediately address the situation.</w:t>
            </w:r>
          </w:p>
          <w:p w:rsidR="00DD6B64" w:rsidRPr="00AB2EAD" w:rsidRDefault="00DD6B64" w:rsidP="00115F4F">
            <w:pPr>
              <w:pStyle w:val="BodyText"/>
              <w:ind w:left="360"/>
            </w:pPr>
          </w:p>
        </w:tc>
        <w:tc>
          <w:tcPr>
            <w:tcW w:w="5760" w:type="dxa"/>
          </w:tcPr>
          <w:p w:rsidR="00DD6B64" w:rsidRPr="00AB2EAD" w:rsidRDefault="00DD6B64" w:rsidP="00A10F93">
            <w:pPr>
              <w:pStyle w:val="BodyText"/>
            </w:pPr>
          </w:p>
        </w:tc>
        <w:tc>
          <w:tcPr>
            <w:tcW w:w="3690" w:type="dxa"/>
          </w:tcPr>
          <w:p w:rsidR="00A10F93" w:rsidRPr="00AB2EAD" w:rsidRDefault="00A10F93" w:rsidP="00DD6B64">
            <w:pPr>
              <w:pStyle w:val="BodyText"/>
              <w:spacing w:line="259" w:lineRule="auto"/>
            </w:pPr>
          </w:p>
        </w:tc>
      </w:tr>
      <w:tr w:rsidR="00A10F93" w:rsidRPr="00AB2EAD" w:rsidTr="14D32F58">
        <w:tc>
          <w:tcPr>
            <w:tcW w:w="5035" w:type="dxa"/>
          </w:tcPr>
          <w:p w:rsidR="008D4D43" w:rsidRPr="00AB2EAD" w:rsidRDefault="33D61763" w:rsidP="00EB144D">
            <w:pPr>
              <w:pStyle w:val="BodyText"/>
              <w:numPr>
                <w:ilvl w:val="0"/>
                <w:numId w:val="32"/>
              </w:numPr>
            </w:pPr>
            <w:r w:rsidRPr="00AB2EAD">
              <w:rPr>
                <w:b/>
                <w:bCs/>
              </w:rPr>
              <w:t>Develop quality improvement initiatives to reduce incidents of workplace violence.</w:t>
            </w:r>
            <w:r w:rsidRPr="00AB2EAD">
              <w:t xml:space="preserve"> </w:t>
            </w:r>
          </w:p>
          <w:p w:rsidR="008D4D43" w:rsidRPr="00AB2EAD" w:rsidRDefault="008D4D43" w:rsidP="008D4D43">
            <w:pPr>
              <w:pStyle w:val="BodyText"/>
              <w:ind w:left="360"/>
            </w:pPr>
          </w:p>
          <w:p w:rsidR="00115F4F" w:rsidRPr="00AB2EAD" w:rsidRDefault="33D61763" w:rsidP="008D4D43">
            <w:pPr>
              <w:pStyle w:val="BodyText"/>
              <w:ind w:left="360"/>
            </w:pPr>
            <w:r w:rsidRPr="00AB2EAD">
              <w:t>Support the implementation of cost-effective, evidence based solutions as they are discovered.</w:t>
            </w:r>
            <w:r w:rsidRPr="00AB2EAD">
              <w:rPr>
                <w:vertAlign w:val="superscript"/>
              </w:rPr>
              <w:t>25</w:t>
            </w:r>
            <w:r w:rsidRPr="00AB2EAD">
              <w:t xml:space="preserve"> After a review of all pertinent data relating to workplace violence, develop evidence-based initiatives and interventions (when possible) to prevent and control workplace violence. Tailor specific interventions to problems identified at the local level. Depending on the data gathered, an initiative for the ED, inpatient psychiatric unit, labor and delivery, or the intensive care unit (ICU) may differ from an initiative in a unit not generally associated with workplace violence. According to OSHA, these initiatives generally focus on </w:t>
            </w:r>
            <w:r w:rsidRPr="00AB2EAD">
              <w:lastRenderedPageBreak/>
              <w:t>eliminating hazards or substituting them with safer work practices.</w:t>
            </w:r>
            <w:r w:rsidRPr="00AB2EAD">
              <w:rPr>
                <w:vertAlign w:val="superscript"/>
              </w:rPr>
              <w:t>10</w:t>
            </w:r>
            <w:r w:rsidRPr="00AB2EAD">
              <w:t xml:space="preserve"> Some examples follow. </w:t>
            </w:r>
          </w:p>
          <w:p w:rsidR="008D4D43" w:rsidRPr="00AB2EAD" w:rsidRDefault="008D4D43" w:rsidP="00115F4F">
            <w:pPr>
              <w:pStyle w:val="BodyText"/>
              <w:ind w:left="360"/>
            </w:pPr>
          </w:p>
          <w:p w:rsidR="00115F4F" w:rsidRPr="00AB2EAD" w:rsidRDefault="33D61763" w:rsidP="00115F4F">
            <w:pPr>
              <w:pStyle w:val="BodyText"/>
              <w:ind w:left="360"/>
            </w:pPr>
            <w:r w:rsidRPr="00AB2EAD">
              <w:t>• Changes to the physical environment: Depending on the organization’s situation and priorities (identified from the organization’s data), physical or technological solutions may include enhanced security or alarms, better exit routes, regular security patrols/rounds, metal detectors, panic buttons (including mobile panic buttons), monitoring or surveillance technology (such as cameras), barrier protection (for example, keypad access doors and fencing), environmental changes to facilitate de-escalation and reduce hazards, and better lighting.</w:t>
            </w:r>
            <w:r w:rsidRPr="00AB2EAD">
              <w:rPr>
                <w:vertAlign w:val="superscript"/>
              </w:rPr>
              <w:t>10</w:t>
            </w:r>
            <w:r w:rsidRPr="00AB2EAD">
              <w:t xml:space="preserve"> As mentioned above, each organization should use its own data to identify the most effective use of these solutions. As just one example, a hospital that has identified a high incidence of confrontations occurring in the parking lot and in waiting areas may want to have more regular security patrols, or a more visible security presence, in those areas.</w:t>
            </w:r>
          </w:p>
          <w:p w:rsidR="008D4D43" w:rsidRPr="00AB2EAD" w:rsidRDefault="00115F4F" w:rsidP="00115F4F">
            <w:pPr>
              <w:pStyle w:val="BodyText"/>
              <w:ind w:left="360"/>
            </w:pPr>
            <w:r w:rsidRPr="00AB2EAD">
              <w:t xml:space="preserve"> </w:t>
            </w:r>
          </w:p>
          <w:p w:rsidR="00E1707C" w:rsidRPr="00AB2EAD" w:rsidRDefault="33D61763" w:rsidP="00115F4F">
            <w:pPr>
              <w:pStyle w:val="BodyText"/>
              <w:ind w:left="360"/>
            </w:pPr>
            <w:r w:rsidRPr="00AB2EAD">
              <w:t>• Changes to work practices or administrative procedures: To create a calmer environment less conductive to violence, assign sufficient staff to units to reduce crowding and wait times, both risk factors for workplace violence.</w:t>
            </w:r>
            <w:r w:rsidRPr="00AB2EAD">
              <w:rPr>
                <w:vertAlign w:val="superscript"/>
              </w:rPr>
              <w:t>10</w:t>
            </w:r>
            <w:r w:rsidRPr="00AB2EAD">
              <w:t xml:space="preserve"> Decreasing worker turnover and providing adequate security and mental health personnel on-site also are recommended.</w:t>
            </w:r>
            <w:r w:rsidRPr="00AB2EAD">
              <w:rPr>
                <w:vertAlign w:val="superscript"/>
              </w:rPr>
              <w:t>10,47</w:t>
            </w:r>
            <w:r w:rsidRPr="00AB2EAD">
              <w:t xml:space="preserve"> Other administrative or work practice solutions may include developing workplace violence response teams and policies; reviewing entry and identification procedures; and changing work procedures to keep team members, including those providing transportation, secure and not isolated by having the means to call for help.</w:t>
            </w:r>
            <w:r w:rsidRPr="00AB2EAD">
              <w:rPr>
                <w:vertAlign w:val="superscript"/>
              </w:rPr>
              <w:t>10</w:t>
            </w:r>
          </w:p>
        </w:tc>
        <w:tc>
          <w:tcPr>
            <w:tcW w:w="5760" w:type="dxa"/>
          </w:tcPr>
          <w:p w:rsidR="00A82435" w:rsidRPr="00AB2EAD" w:rsidRDefault="00A82435" w:rsidP="00A10F93">
            <w:pPr>
              <w:pStyle w:val="BodyText"/>
            </w:pPr>
          </w:p>
        </w:tc>
        <w:tc>
          <w:tcPr>
            <w:tcW w:w="3690" w:type="dxa"/>
          </w:tcPr>
          <w:p w:rsidR="00A10F93" w:rsidRPr="00AB2EAD" w:rsidRDefault="00A10F93" w:rsidP="00A10F93">
            <w:pPr>
              <w:pStyle w:val="BodyText"/>
            </w:pPr>
          </w:p>
        </w:tc>
      </w:tr>
      <w:tr w:rsidR="00342C84" w:rsidRPr="00AB2EAD" w:rsidTr="14D32F58">
        <w:tc>
          <w:tcPr>
            <w:tcW w:w="5035" w:type="dxa"/>
          </w:tcPr>
          <w:p w:rsidR="00EB144D" w:rsidRPr="00AB2EAD" w:rsidRDefault="33D61763" w:rsidP="00EB144D">
            <w:pPr>
              <w:pStyle w:val="BodyText"/>
              <w:numPr>
                <w:ilvl w:val="0"/>
                <w:numId w:val="32"/>
              </w:numPr>
            </w:pPr>
            <w:r w:rsidRPr="00AB2EAD">
              <w:rPr>
                <w:b/>
                <w:bCs/>
              </w:rPr>
              <w:t>Train all staff, including security, in de-escalation, self-defense and response to emergency codes.</w:t>
            </w:r>
            <w:r w:rsidRPr="00AB2EAD">
              <w:rPr>
                <w:b/>
                <w:bCs/>
                <w:vertAlign w:val="superscript"/>
              </w:rPr>
              <w:t>10</w:t>
            </w:r>
            <w:r w:rsidRPr="00AB2EAD">
              <w:rPr>
                <w:vertAlign w:val="superscript"/>
              </w:rPr>
              <w:t xml:space="preserve"> </w:t>
            </w:r>
            <w:r w:rsidRPr="00AB2EAD">
              <w:t>When threatening language and agitation are identified, initiate de-escalation techniques quickly.</w:t>
            </w:r>
            <w:r w:rsidRPr="00AB2EAD">
              <w:rPr>
                <w:vertAlign w:val="superscript"/>
              </w:rPr>
              <w:t>25</w:t>
            </w:r>
            <w:r w:rsidRPr="00AB2EAD">
              <w:t xml:space="preserve"> Self-defense training may include topics such as violence risk factors, de-</w:t>
            </w:r>
            <w:r w:rsidRPr="00AB2EAD">
              <w:lastRenderedPageBreak/>
              <w:t>escalation techniques, alarms, security support, safe rooms, escape plans, and emergency communication procedures.</w:t>
            </w:r>
            <w:r w:rsidRPr="00AB2EAD">
              <w:rPr>
                <w:vertAlign w:val="superscript"/>
              </w:rPr>
              <w:t>10</w:t>
            </w:r>
            <w:r w:rsidRPr="00AB2EAD">
              <w:t xml:space="preserve"> </w:t>
            </w:r>
          </w:p>
          <w:p w:rsidR="008D4D43" w:rsidRPr="00AB2EAD" w:rsidRDefault="008D4D43" w:rsidP="00EB144D">
            <w:pPr>
              <w:pStyle w:val="BodyText"/>
              <w:ind w:left="360"/>
            </w:pPr>
          </w:p>
          <w:p w:rsidR="00EB144D" w:rsidRPr="00AB2EAD" w:rsidRDefault="33D61763" w:rsidP="00EB144D">
            <w:pPr>
              <w:pStyle w:val="BodyText"/>
              <w:ind w:left="360"/>
            </w:pPr>
            <w:r w:rsidRPr="00AB2EAD">
              <w:t>• Regarding de-escalation and self-defense, experts suggest that hospitals prohibit firearms from campus, except for firearms used by law enforcement officers.</w:t>
            </w:r>
            <w:r w:rsidRPr="00AB2EAD">
              <w:rPr>
                <w:vertAlign w:val="superscript"/>
              </w:rPr>
              <w:t>49</w:t>
            </w:r>
            <w:r w:rsidRPr="00AB2EAD">
              <w:t xml:space="preserve"> The Centers for Medicare and Medicaid Services (CMS) does not permit the use of weapons by any hospital staff as a means of subduing a patient.</w:t>
            </w:r>
            <w:r w:rsidRPr="00AB2EAD">
              <w:rPr>
                <w:vertAlign w:val="superscript"/>
              </w:rPr>
              <w:t>50</w:t>
            </w:r>
            <w:r w:rsidRPr="00AB2EAD">
              <w:t xml:space="preserve"> </w:t>
            </w:r>
          </w:p>
          <w:p w:rsidR="008D4D43" w:rsidRPr="00AB2EAD" w:rsidRDefault="008D4D43" w:rsidP="00EB144D">
            <w:pPr>
              <w:pStyle w:val="BodyText"/>
              <w:ind w:left="360"/>
            </w:pPr>
          </w:p>
          <w:p w:rsidR="00052572" w:rsidRPr="00AB2EAD" w:rsidRDefault="33D61763" w:rsidP="00EB144D">
            <w:pPr>
              <w:pStyle w:val="BodyText"/>
              <w:ind w:left="360"/>
            </w:pPr>
            <w:r w:rsidRPr="00AB2EAD">
              <w:t>• Conduct practice drills that include response to a full spectrum of violent situations, which could range from a verbally abusive family member to an active shooter. These practice drills can be part of an ongoing safety program, as indicated in The Joint Commission Environment of Care (EC) standards; however, a situation such as an active shooter require more extensive coordination with community responders, and can be addressed in exercises as described in the Emergency Management (EM) standards (see “Related Joint Commission requirements” section).</w:t>
            </w:r>
          </w:p>
        </w:tc>
        <w:tc>
          <w:tcPr>
            <w:tcW w:w="5760" w:type="dxa"/>
          </w:tcPr>
          <w:p w:rsidR="004520D3" w:rsidRPr="00AB2EAD" w:rsidRDefault="004520D3" w:rsidP="00A10F93">
            <w:pPr>
              <w:pStyle w:val="BodyText"/>
            </w:pPr>
          </w:p>
        </w:tc>
        <w:tc>
          <w:tcPr>
            <w:tcW w:w="3690" w:type="dxa"/>
          </w:tcPr>
          <w:p w:rsidR="004520D3" w:rsidRPr="00AB2EAD" w:rsidRDefault="004520D3" w:rsidP="00A10F93">
            <w:pPr>
              <w:pStyle w:val="BodyText"/>
            </w:pPr>
          </w:p>
        </w:tc>
      </w:tr>
      <w:tr w:rsidR="00342C84" w:rsidRPr="00AB2EAD" w:rsidTr="14D32F58">
        <w:tc>
          <w:tcPr>
            <w:tcW w:w="5035" w:type="dxa"/>
          </w:tcPr>
          <w:p w:rsidR="009A5157" w:rsidRPr="00AB2EAD" w:rsidRDefault="33D61763" w:rsidP="009A5157">
            <w:pPr>
              <w:pStyle w:val="BodyText"/>
              <w:numPr>
                <w:ilvl w:val="0"/>
                <w:numId w:val="32"/>
              </w:numPr>
            </w:pPr>
            <w:r w:rsidRPr="00AB2EAD">
              <w:rPr>
                <w:b/>
                <w:bCs/>
              </w:rPr>
              <w:t>Evaluate workplace violence reduction initiatives</w:t>
            </w:r>
            <w:r w:rsidRPr="00AB2EAD">
              <w:t xml:space="preserve"> by: </w:t>
            </w:r>
          </w:p>
          <w:p w:rsidR="008D4D43" w:rsidRPr="00AB2EAD" w:rsidRDefault="008D4D43" w:rsidP="009A5157">
            <w:pPr>
              <w:pStyle w:val="BodyText"/>
              <w:ind w:left="360"/>
            </w:pPr>
          </w:p>
          <w:p w:rsidR="009A5157" w:rsidRPr="00AB2EAD" w:rsidRDefault="33D61763" w:rsidP="009A5157">
            <w:pPr>
              <w:pStyle w:val="BodyText"/>
              <w:ind w:left="360"/>
            </w:pPr>
            <w:r w:rsidRPr="00AB2EAD">
              <w:t xml:space="preserve">• Regularly reviewing reported incidents and leadership’s responses to them. </w:t>
            </w:r>
          </w:p>
          <w:p w:rsidR="008D4D43" w:rsidRPr="00AB2EAD" w:rsidRDefault="008D4D43" w:rsidP="009A5157">
            <w:pPr>
              <w:pStyle w:val="BodyText"/>
              <w:ind w:left="360"/>
            </w:pPr>
          </w:p>
          <w:p w:rsidR="009A5157" w:rsidRPr="00AB2EAD" w:rsidRDefault="33D61763" w:rsidP="009A5157">
            <w:pPr>
              <w:pStyle w:val="BodyText"/>
              <w:ind w:left="360"/>
            </w:pPr>
            <w:r w:rsidRPr="00AB2EAD">
              <w:t xml:space="preserve">• Analyzing trends in incidents, injuries and fatalities relative to baseline rates and measuring improvement. </w:t>
            </w:r>
          </w:p>
          <w:p w:rsidR="008D4D43" w:rsidRPr="00AB2EAD" w:rsidRDefault="008D4D43" w:rsidP="009A5157">
            <w:pPr>
              <w:pStyle w:val="BodyText"/>
              <w:ind w:left="360"/>
            </w:pPr>
          </w:p>
          <w:p w:rsidR="009A5157" w:rsidRPr="00AB2EAD" w:rsidRDefault="33D61763" w:rsidP="009A5157">
            <w:pPr>
              <w:pStyle w:val="BodyText"/>
              <w:ind w:left="360"/>
            </w:pPr>
            <w:r w:rsidRPr="00AB2EAD">
              <w:t xml:space="preserve">• Surveying workers to determine effectiveness of initiatives. </w:t>
            </w:r>
          </w:p>
          <w:p w:rsidR="009A5157" w:rsidRPr="00AB2EAD" w:rsidRDefault="33D61763" w:rsidP="009A5157">
            <w:pPr>
              <w:pStyle w:val="BodyText"/>
              <w:ind w:left="360"/>
            </w:pPr>
            <w:r w:rsidRPr="00AB2EAD">
              <w:t xml:space="preserve">• Tracking if recommendations were completed. </w:t>
            </w:r>
          </w:p>
          <w:p w:rsidR="008D4D43" w:rsidRPr="00AB2EAD" w:rsidRDefault="008D4D43" w:rsidP="009A5157">
            <w:pPr>
              <w:pStyle w:val="BodyText"/>
              <w:ind w:left="360"/>
            </w:pPr>
          </w:p>
          <w:p w:rsidR="009A5157" w:rsidRPr="00AB2EAD" w:rsidRDefault="33D61763" w:rsidP="009A5157">
            <w:pPr>
              <w:pStyle w:val="BodyText"/>
              <w:ind w:left="360"/>
            </w:pPr>
            <w:r w:rsidRPr="00AB2EAD">
              <w:t xml:space="preserve">• Keeping abreast of new strategies. </w:t>
            </w:r>
          </w:p>
          <w:p w:rsidR="008D4D43" w:rsidRPr="00AB2EAD" w:rsidRDefault="008D4D43" w:rsidP="009A5157">
            <w:pPr>
              <w:pStyle w:val="BodyText"/>
              <w:ind w:left="360"/>
            </w:pPr>
          </w:p>
          <w:p w:rsidR="00052572" w:rsidRPr="00AB2EAD" w:rsidRDefault="33D61763" w:rsidP="009A5157">
            <w:pPr>
              <w:pStyle w:val="BodyText"/>
              <w:ind w:left="360"/>
            </w:pPr>
            <w:r w:rsidRPr="00AB2EAD">
              <w:t>• Partnering with local law enforcement or having a consultant review the worksite.</w:t>
            </w:r>
            <w:r w:rsidRPr="00AB2EAD">
              <w:rPr>
                <w:vertAlign w:val="superscript"/>
              </w:rPr>
              <w:t>10</w:t>
            </w:r>
            <w:r w:rsidRPr="00AB2EAD">
              <w:t xml:space="preserve"> They can provide advice and updates on possible risks that are developing in the community, as well as help </w:t>
            </w:r>
            <w:r w:rsidRPr="00AB2EAD">
              <w:lastRenderedPageBreak/>
              <w:t>with resource planning or security audits. If local law enforcement response time is known to be long due to distance or other factors, consider internal resources or other options to control a situation until law enforcement arrives.</w:t>
            </w:r>
          </w:p>
        </w:tc>
        <w:tc>
          <w:tcPr>
            <w:tcW w:w="5760" w:type="dxa"/>
          </w:tcPr>
          <w:p w:rsidR="00AF167D" w:rsidRPr="00AB2EAD" w:rsidRDefault="00AF167D" w:rsidP="00A10F93">
            <w:pPr>
              <w:pStyle w:val="BodyText"/>
            </w:pPr>
          </w:p>
        </w:tc>
        <w:tc>
          <w:tcPr>
            <w:tcW w:w="3690" w:type="dxa"/>
          </w:tcPr>
          <w:p w:rsidR="004C3F0B" w:rsidRPr="00AB2EAD" w:rsidRDefault="004C3F0B" w:rsidP="00A10F93">
            <w:pPr>
              <w:pStyle w:val="BodyText"/>
            </w:pPr>
          </w:p>
        </w:tc>
      </w:tr>
    </w:tbl>
    <w:p w:rsidR="00A10F93" w:rsidRPr="00AB2EAD" w:rsidRDefault="00A10F93" w:rsidP="0049440E">
      <w:pPr>
        <w:pStyle w:val="BodyText"/>
      </w:pPr>
    </w:p>
    <w:p w:rsidR="0049440E" w:rsidRPr="00AB2EAD" w:rsidRDefault="0049440E" w:rsidP="00290958">
      <w:pPr>
        <w:pStyle w:val="BodyText"/>
        <w:ind w:left="1080" w:hanging="720"/>
      </w:pPr>
    </w:p>
    <w:p w:rsidR="00290958" w:rsidRPr="00AB2EAD" w:rsidRDefault="00290958" w:rsidP="00290958">
      <w:pPr>
        <w:pStyle w:val="ListParagraph"/>
        <w:rPr>
          <w:sz w:val="20"/>
          <w:szCs w:val="20"/>
        </w:rPr>
      </w:pPr>
    </w:p>
    <w:p w:rsidR="0049440E" w:rsidRPr="00AB2EAD" w:rsidRDefault="0049440E" w:rsidP="001748EC">
      <w:pPr>
        <w:pStyle w:val="BodyText"/>
      </w:pPr>
    </w:p>
    <w:p w:rsidR="00D80AD3" w:rsidRPr="00AB2EAD" w:rsidRDefault="00D80AD3">
      <w:pPr>
        <w:rPr>
          <w:sz w:val="20"/>
          <w:szCs w:val="20"/>
        </w:rPr>
      </w:pPr>
    </w:p>
    <w:sectPr w:rsidR="00D80AD3" w:rsidRPr="00AB2EAD" w:rsidSect="008D4D43">
      <w:headerReference w:type="default" r:id="rId7"/>
      <w:footerReference w:type="default" r:id="rId8"/>
      <w:type w:val="continuous"/>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17" w:rsidRDefault="002D7517" w:rsidP="00A90867">
      <w:r>
        <w:separator/>
      </w:r>
    </w:p>
  </w:endnote>
  <w:endnote w:type="continuationSeparator" w:id="0">
    <w:p w:rsidR="002D7517" w:rsidRDefault="002D7517" w:rsidP="00A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M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867" w:rsidRPr="00A90867" w:rsidRDefault="00A90867" w:rsidP="00A90867">
    <w:pPr>
      <w:pStyle w:val="Footer"/>
      <w:jc w:val="right"/>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9E2A04">
      <w:rPr>
        <w:noProof/>
        <w:sz w:val="16"/>
        <w:szCs w:val="16"/>
      </w:rPr>
      <w:t>\sea 59</w:t>
    </w:r>
    <w:r w:rsidR="001748EC">
      <w:rPr>
        <w:noProof/>
        <w:sz w:val="16"/>
        <w:szCs w:val="16"/>
      </w:rPr>
      <w:t xml:space="preserve"> gapanalysistemplate.docx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17" w:rsidRDefault="002D7517" w:rsidP="00A90867">
      <w:r>
        <w:separator/>
      </w:r>
    </w:p>
  </w:footnote>
  <w:footnote w:type="continuationSeparator" w:id="0">
    <w:p w:rsidR="002D7517" w:rsidRDefault="002D7517" w:rsidP="00A9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7B" w:rsidRDefault="00500080" w:rsidP="0022147B">
    <w:pPr>
      <w:pStyle w:val="Header"/>
      <w:jc w:val="right"/>
    </w:pPr>
    <w:r>
      <w:t xml:space="preserve"> 10/30</w:t>
    </w:r>
    <w:r w:rsidR="14D32F58">
      <w:t xml:space="preserve">/18, </w:t>
    </w:r>
    <w:proofErr w:type="spellStart"/>
    <w:r w:rsidR="14D32F58">
      <w:t>mp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80C"/>
    <w:multiLevelType w:val="hybridMultilevel"/>
    <w:tmpl w:val="05F2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07C9"/>
    <w:multiLevelType w:val="hybridMultilevel"/>
    <w:tmpl w:val="AFB6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77F65"/>
    <w:multiLevelType w:val="hybridMultilevel"/>
    <w:tmpl w:val="56B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11487"/>
    <w:multiLevelType w:val="hybridMultilevel"/>
    <w:tmpl w:val="4378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E5240"/>
    <w:multiLevelType w:val="hybridMultilevel"/>
    <w:tmpl w:val="39CA5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D335F"/>
    <w:multiLevelType w:val="hybridMultilevel"/>
    <w:tmpl w:val="21DE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550C"/>
    <w:multiLevelType w:val="hybridMultilevel"/>
    <w:tmpl w:val="C68A5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D2309"/>
    <w:multiLevelType w:val="hybridMultilevel"/>
    <w:tmpl w:val="255C8BD6"/>
    <w:lvl w:ilvl="0" w:tplc="0409000F">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A4A97"/>
    <w:multiLevelType w:val="hybridMultilevel"/>
    <w:tmpl w:val="6D92DEB8"/>
    <w:lvl w:ilvl="0" w:tplc="00481832">
      <w:start w:val="1"/>
      <w:numFmt w:val="decimal"/>
      <w:lvlText w:val="%1."/>
      <w:lvlJc w:val="left"/>
      <w:pPr>
        <w:ind w:left="1031" w:hanging="221"/>
      </w:pPr>
      <w:rPr>
        <w:rFonts w:ascii="Arial" w:eastAsia="Arial" w:hAnsi="Arial" w:cs="Arial" w:hint="default"/>
        <w:b/>
        <w:bCs/>
        <w:i w:val="0"/>
        <w:w w:val="99"/>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434135B"/>
    <w:multiLevelType w:val="hybridMultilevel"/>
    <w:tmpl w:val="67B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E5A79"/>
    <w:multiLevelType w:val="hybridMultilevel"/>
    <w:tmpl w:val="106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44DDD"/>
    <w:multiLevelType w:val="hybridMultilevel"/>
    <w:tmpl w:val="D3A4F406"/>
    <w:lvl w:ilvl="0" w:tplc="D52A6E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77285"/>
    <w:multiLevelType w:val="hybridMultilevel"/>
    <w:tmpl w:val="A08E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BB15D2"/>
    <w:multiLevelType w:val="hybridMultilevel"/>
    <w:tmpl w:val="A248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F7A05"/>
    <w:multiLevelType w:val="hybridMultilevel"/>
    <w:tmpl w:val="D950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6E1E"/>
    <w:multiLevelType w:val="hybridMultilevel"/>
    <w:tmpl w:val="068EDF0E"/>
    <w:lvl w:ilvl="0" w:tplc="00481832">
      <w:start w:val="1"/>
      <w:numFmt w:val="decimal"/>
      <w:lvlText w:val="%1."/>
      <w:lvlJc w:val="left"/>
      <w:pPr>
        <w:ind w:left="761" w:hanging="221"/>
      </w:pPr>
      <w:rPr>
        <w:rFonts w:ascii="Arial" w:eastAsia="Arial" w:hAnsi="Arial" w:cs="Arial" w:hint="default"/>
        <w:b/>
        <w:bCs/>
        <w:i w:val="0"/>
        <w:w w:val="99"/>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A30BC"/>
    <w:multiLevelType w:val="hybridMultilevel"/>
    <w:tmpl w:val="CEB4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761B52"/>
    <w:multiLevelType w:val="hybridMultilevel"/>
    <w:tmpl w:val="17E40A8E"/>
    <w:lvl w:ilvl="0" w:tplc="4D7C272A">
      <w:start w:val="1"/>
      <w:numFmt w:val="decimal"/>
      <w:lvlText w:val="%1."/>
      <w:lvlJc w:val="left"/>
      <w:pPr>
        <w:ind w:left="1080" w:hanging="360"/>
      </w:pPr>
      <w:rPr>
        <w:b/>
      </w:rPr>
    </w:lvl>
    <w:lvl w:ilvl="1" w:tplc="A45C0354">
      <w:numFmt w:val="bullet"/>
      <w:lvlText w:val="•"/>
      <w:lvlJc w:val="left"/>
      <w:pPr>
        <w:ind w:left="1800" w:hanging="360"/>
      </w:pPr>
      <w:rPr>
        <w:rFonts w:ascii="Arial" w:eastAsia="Arial"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1D74BF"/>
    <w:multiLevelType w:val="hybridMultilevel"/>
    <w:tmpl w:val="5C3E0E02"/>
    <w:lvl w:ilvl="0" w:tplc="D52A6E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321DB"/>
    <w:multiLevelType w:val="hybridMultilevel"/>
    <w:tmpl w:val="2452BF42"/>
    <w:lvl w:ilvl="0" w:tplc="D52A6E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0A32"/>
    <w:multiLevelType w:val="hybridMultilevel"/>
    <w:tmpl w:val="97984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58508F"/>
    <w:multiLevelType w:val="hybridMultilevel"/>
    <w:tmpl w:val="A8FC5F1E"/>
    <w:lvl w:ilvl="0" w:tplc="00481832">
      <w:start w:val="1"/>
      <w:numFmt w:val="decimal"/>
      <w:lvlText w:val="%1."/>
      <w:lvlJc w:val="left"/>
      <w:pPr>
        <w:ind w:left="40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C5D7E"/>
    <w:multiLevelType w:val="hybridMultilevel"/>
    <w:tmpl w:val="3CDAC5EA"/>
    <w:lvl w:ilvl="0" w:tplc="D52A6E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A0207"/>
    <w:multiLevelType w:val="hybridMultilevel"/>
    <w:tmpl w:val="0AB03F9C"/>
    <w:lvl w:ilvl="0" w:tplc="00481832">
      <w:start w:val="1"/>
      <w:numFmt w:val="decimal"/>
      <w:lvlText w:val="%1."/>
      <w:lvlJc w:val="left"/>
      <w:pPr>
        <w:ind w:left="40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637A"/>
    <w:multiLevelType w:val="hybridMultilevel"/>
    <w:tmpl w:val="07D27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792E2A"/>
    <w:multiLevelType w:val="hybridMultilevel"/>
    <w:tmpl w:val="7F44EE70"/>
    <w:lvl w:ilvl="0" w:tplc="00481832">
      <w:start w:val="1"/>
      <w:numFmt w:val="decimal"/>
      <w:lvlText w:val="%1."/>
      <w:lvlJc w:val="left"/>
      <w:pPr>
        <w:ind w:left="76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0137D"/>
    <w:multiLevelType w:val="hybridMultilevel"/>
    <w:tmpl w:val="9A6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3A6C"/>
    <w:multiLevelType w:val="hybridMultilevel"/>
    <w:tmpl w:val="227438FA"/>
    <w:lvl w:ilvl="0" w:tplc="00481832">
      <w:start w:val="1"/>
      <w:numFmt w:val="decimal"/>
      <w:lvlText w:val="%1."/>
      <w:lvlJc w:val="left"/>
      <w:pPr>
        <w:ind w:left="76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50693"/>
    <w:multiLevelType w:val="hybridMultilevel"/>
    <w:tmpl w:val="7EB08ADE"/>
    <w:lvl w:ilvl="0" w:tplc="00481832">
      <w:start w:val="1"/>
      <w:numFmt w:val="decimal"/>
      <w:lvlText w:val="%1."/>
      <w:lvlJc w:val="left"/>
      <w:pPr>
        <w:ind w:left="401" w:hanging="221"/>
      </w:pPr>
      <w:rPr>
        <w:rFonts w:ascii="Arial" w:eastAsia="Arial" w:hAnsi="Arial" w:cs="Arial" w:hint="default"/>
        <w:b/>
        <w:bCs/>
        <w:i w:val="0"/>
        <w:w w:val="99"/>
        <w:sz w:val="22"/>
        <w:szCs w:val="22"/>
      </w:rPr>
    </w:lvl>
    <w:lvl w:ilvl="1" w:tplc="9B1AD194">
      <w:numFmt w:val="bullet"/>
      <w:lvlText w:val=""/>
      <w:lvlJc w:val="left"/>
      <w:pPr>
        <w:ind w:left="1121" w:hanging="361"/>
      </w:pPr>
      <w:rPr>
        <w:rFonts w:hint="default"/>
        <w:w w:val="99"/>
      </w:rPr>
    </w:lvl>
    <w:lvl w:ilvl="2" w:tplc="A25C4158">
      <w:numFmt w:val="bullet"/>
      <w:lvlText w:val="•"/>
      <w:lvlJc w:val="left"/>
      <w:pPr>
        <w:ind w:left="1543" w:hanging="361"/>
      </w:pPr>
      <w:rPr>
        <w:rFonts w:hint="default"/>
      </w:rPr>
    </w:lvl>
    <w:lvl w:ilvl="3" w:tplc="5340324A">
      <w:numFmt w:val="bullet"/>
      <w:lvlText w:val="•"/>
      <w:lvlJc w:val="left"/>
      <w:pPr>
        <w:ind w:left="1966" w:hanging="361"/>
      </w:pPr>
      <w:rPr>
        <w:rFonts w:hint="default"/>
      </w:rPr>
    </w:lvl>
    <w:lvl w:ilvl="4" w:tplc="AD089E88">
      <w:numFmt w:val="bullet"/>
      <w:lvlText w:val="•"/>
      <w:lvlJc w:val="left"/>
      <w:pPr>
        <w:ind w:left="2388" w:hanging="361"/>
      </w:pPr>
      <w:rPr>
        <w:rFonts w:hint="default"/>
      </w:rPr>
    </w:lvl>
    <w:lvl w:ilvl="5" w:tplc="5B2ACD3A">
      <w:numFmt w:val="bullet"/>
      <w:lvlText w:val="•"/>
      <w:lvlJc w:val="left"/>
      <w:pPr>
        <w:ind w:left="2811" w:hanging="361"/>
      </w:pPr>
      <w:rPr>
        <w:rFonts w:hint="default"/>
      </w:rPr>
    </w:lvl>
    <w:lvl w:ilvl="6" w:tplc="A43289B4">
      <w:numFmt w:val="bullet"/>
      <w:lvlText w:val="•"/>
      <w:lvlJc w:val="left"/>
      <w:pPr>
        <w:ind w:left="3234" w:hanging="361"/>
      </w:pPr>
      <w:rPr>
        <w:rFonts w:hint="default"/>
      </w:rPr>
    </w:lvl>
    <w:lvl w:ilvl="7" w:tplc="6972AD82">
      <w:numFmt w:val="bullet"/>
      <w:lvlText w:val="•"/>
      <w:lvlJc w:val="left"/>
      <w:pPr>
        <w:ind w:left="3656" w:hanging="361"/>
      </w:pPr>
      <w:rPr>
        <w:rFonts w:hint="default"/>
      </w:rPr>
    </w:lvl>
    <w:lvl w:ilvl="8" w:tplc="FAC6395A">
      <w:numFmt w:val="bullet"/>
      <w:lvlText w:val="•"/>
      <w:lvlJc w:val="left"/>
      <w:pPr>
        <w:ind w:left="4079" w:hanging="361"/>
      </w:pPr>
      <w:rPr>
        <w:rFonts w:hint="default"/>
      </w:rPr>
    </w:lvl>
  </w:abstractNum>
  <w:abstractNum w:abstractNumId="29" w15:restartNumberingAfterBreak="0">
    <w:nsid w:val="70EA0680"/>
    <w:multiLevelType w:val="hybridMultilevel"/>
    <w:tmpl w:val="0040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764"/>
    <w:multiLevelType w:val="hybridMultilevel"/>
    <w:tmpl w:val="50428B8E"/>
    <w:lvl w:ilvl="0" w:tplc="00481832">
      <w:start w:val="1"/>
      <w:numFmt w:val="decimal"/>
      <w:lvlText w:val="%1."/>
      <w:lvlJc w:val="left"/>
      <w:pPr>
        <w:ind w:left="40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C093B"/>
    <w:multiLevelType w:val="hybridMultilevel"/>
    <w:tmpl w:val="F3AE0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FD379B"/>
    <w:multiLevelType w:val="hybridMultilevel"/>
    <w:tmpl w:val="017E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BF4A66"/>
    <w:multiLevelType w:val="hybridMultilevel"/>
    <w:tmpl w:val="DE4EDB58"/>
    <w:lvl w:ilvl="0" w:tplc="00481832">
      <w:start w:val="1"/>
      <w:numFmt w:val="decimal"/>
      <w:lvlText w:val="%1."/>
      <w:lvlJc w:val="left"/>
      <w:pPr>
        <w:ind w:left="761" w:hanging="221"/>
      </w:pPr>
      <w:rPr>
        <w:rFonts w:ascii="Arial" w:eastAsia="Arial" w:hAnsi="Arial" w:cs="Arial" w:hint="default"/>
        <w:b/>
        <w:bCs/>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40A31"/>
    <w:multiLevelType w:val="hybridMultilevel"/>
    <w:tmpl w:val="4B3A6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
  </w:num>
  <w:num w:numId="3">
    <w:abstractNumId w:val="18"/>
  </w:num>
  <w:num w:numId="4">
    <w:abstractNumId w:val="0"/>
  </w:num>
  <w:num w:numId="5">
    <w:abstractNumId w:val="11"/>
  </w:num>
  <w:num w:numId="6">
    <w:abstractNumId w:val="15"/>
  </w:num>
  <w:num w:numId="7">
    <w:abstractNumId w:val="23"/>
  </w:num>
  <w:num w:numId="8">
    <w:abstractNumId w:val="21"/>
  </w:num>
  <w:num w:numId="9">
    <w:abstractNumId w:val="30"/>
  </w:num>
  <w:num w:numId="10">
    <w:abstractNumId w:val="19"/>
  </w:num>
  <w:num w:numId="11">
    <w:abstractNumId w:val="22"/>
  </w:num>
  <w:num w:numId="12">
    <w:abstractNumId w:val="8"/>
  </w:num>
  <w:num w:numId="13">
    <w:abstractNumId w:val="33"/>
  </w:num>
  <w:num w:numId="14">
    <w:abstractNumId w:val="25"/>
  </w:num>
  <w:num w:numId="15">
    <w:abstractNumId w:val="27"/>
  </w:num>
  <w:num w:numId="16">
    <w:abstractNumId w:val="7"/>
  </w:num>
  <w:num w:numId="17">
    <w:abstractNumId w:val="12"/>
  </w:num>
  <w:num w:numId="18">
    <w:abstractNumId w:val="17"/>
  </w:num>
  <w:num w:numId="19">
    <w:abstractNumId w:val="2"/>
  </w:num>
  <w:num w:numId="20">
    <w:abstractNumId w:val="5"/>
  </w:num>
  <w:num w:numId="21">
    <w:abstractNumId w:val="29"/>
  </w:num>
  <w:num w:numId="22">
    <w:abstractNumId w:val="16"/>
  </w:num>
  <w:num w:numId="23">
    <w:abstractNumId w:val="34"/>
  </w:num>
  <w:num w:numId="24">
    <w:abstractNumId w:val="4"/>
  </w:num>
  <w:num w:numId="25">
    <w:abstractNumId w:val="10"/>
  </w:num>
  <w:num w:numId="26">
    <w:abstractNumId w:val="26"/>
  </w:num>
  <w:num w:numId="27">
    <w:abstractNumId w:val="32"/>
  </w:num>
  <w:num w:numId="28">
    <w:abstractNumId w:val="6"/>
  </w:num>
  <w:num w:numId="29">
    <w:abstractNumId w:val="24"/>
  </w:num>
  <w:num w:numId="30">
    <w:abstractNumId w:val="20"/>
  </w:num>
  <w:num w:numId="31">
    <w:abstractNumId w:val="3"/>
  </w:num>
  <w:num w:numId="32">
    <w:abstractNumId w:val="31"/>
  </w:num>
  <w:num w:numId="33">
    <w:abstractNumId w:val="13"/>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0E"/>
    <w:rsid w:val="00052572"/>
    <w:rsid w:val="000F0745"/>
    <w:rsid w:val="000F64DB"/>
    <w:rsid w:val="00115F4F"/>
    <w:rsid w:val="001748EC"/>
    <w:rsid w:val="0022147B"/>
    <w:rsid w:val="00290958"/>
    <w:rsid w:val="00293428"/>
    <w:rsid w:val="002D7517"/>
    <w:rsid w:val="00333392"/>
    <w:rsid w:val="00342C84"/>
    <w:rsid w:val="003A2228"/>
    <w:rsid w:val="003B44DC"/>
    <w:rsid w:val="003E66AF"/>
    <w:rsid w:val="004035CF"/>
    <w:rsid w:val="00407A63"/>
    <w:rsid w:val="004520D3"/>
    <w:rsid w:val="0049440E"/>
    <w:rsid w:val="004C1570"/>
    <w:rsid w:val="004C3F0B"/>
    <w:rsid w:val="004D6BDB"/>
    <w:rsid w:val="00500080"/>
    <w:rsid w:val="00550138"/>
    <w:rsid w:val="005B0AF6"/>
    <w:rsid w:val="005B5610"/>
    <w:rsid w:val="005D786A"/>
    <w:rsid w:val="00686CA9"/>
    <w:rsid w:val="00697F44"/>
    <w:rsid w:val="006D1992"/>
    <w:rsid w:val="006D3BFA"/>
    <w:rsid w:val="006E5AF0"/>
    <w:rsid w:val="006F1316"/>
    <w:rsid w:val="006F523B"/>
    <w:rsid w:val="007770B0"/>
    <w:rsid w:val="0089626C"/>
    <w:rsid w:val="008D4D43"/>
    <w:rsid w:val="008D7BFC"/>
    <w:rsid w:val="009A5157"/>
    <w:rsid w:val="009E2A04"/>
    <w:rsid w:val="00A10F93"/>
    <w:rsid w:val="00A82435"/>
    <w:rsid w:val="00A858B6"/>
    <w:rsid w:val="00A90867"/>
    <w:rsid w:val="00AB2EAD"/>
    <w:rsid w:val="00AF167D"/>
    <w:rsid w:val="00B3591C"/>
    <w:rsid w:val="00C27191"/>
    <w:rsid w:val="00CC1DB9"/>
    <w:rsid w:val="00D80AD3"/>
    <w:rsid w:val="00DD044C"/>
    <w:rsid w:val="00DD6B64"/>
    <w:rsid w:val="00E04ACE"/>
    <w:rsid w:val="00E1707C"/>
    <w:rsid w:val="00E84652"/>
    <w:rsid w:val="00EB144D"/>
    <w:rsid w:val="00F20872"/>
    <w:rsid w:val="00FD1EE2"/>
    <w:rsid w:val="14D32F58"/>
    <w:rsid w:val="33D6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2DD74-FD6E-49F1-806F-53D5B635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440E"/>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4944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9440E"/>
    <w:pPr>
      <w:ind w:left="100" w:right="14"/>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40E"/>
    <w:rPr>
      <w:sz w:val="20"/>
      <w:szCs w:val="20"/>
    </w:rPr>
  </w:style>
  <w:style w:type="character" w:customStyle="1" w:styleId="BodyTextChar">
    <w:name w:val="Body Text Char"/>
    <w:basedOn w:val="DefaultParagraphFont"/>
    <w:link w:val="BodyText"/>
    <w:uiPriority w:val="1"/>
    <w:rsid w:val="0049440E"/>
    <w:rPr>
      <w:rFonts w:ascii="Arial" w:eastAsia="Arial" w:hAnsi="Arial" w:cs="Arial"/>
      <w:sz w:val="20"/>
      <w:szCs w:val="20"/>
    </w:rPr>
  </w:style>
  <w:style w:type="paragraph" w:styleId="ListParagraph">
    <w:name w:val="List Paragraph"/>
    <w:basedOn w:val="Normal"/>
    <w:uiPriority w:val="1"/>
    <w:qFormat/>
    <w:rsid w:val="0049440E"/>
    <w:pPr>
      <w:ind w:left="460" w:hanging="360"/>
    </w:pPr>
  </w:style>
  <w:style w:type="character" w:customStyle="1" w:styleId="Heading2Char">
    <w:name w:val="Heading 2 Char"/>
    <w:basedOn w:val="DefaultParagraphFont"/>
    <w:link w:val="Heading2"/>
    <w:uiPriority w:val="1"/>
    <w:rsid w:val="0049440E"/>
    <w:rPr>
      <w:rFonts w:ascii="Arial" w:eastAsia="Arial" w:hAnsi="Arial" w:cs="Arial"/>
      <w:b/>
      <w:bCs/>
      <w:i/>
      <w:sz w:val="20"/>
      <w:szCs w:val="20"/>
    </w:rPr>
  </w:style>
  <w:style w:type="character" w:customStyle="1" w:styleId="Heading1Char">
    <w:name w:val="Heading 1 Char"/>
    <w:basedOn w:val="DefaultParagraphFont"/>
    <w:link w:val="Heading1"/>
    <w:uiPriority w:val="9"/>
    <w:rsid w:val="0049440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1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F93"/>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A90867"/>
    <w:pPr>
      <w:tabs>
        <w:tab w:val="center" w:pos="4680"/>
        <w:tab w:val="right" w:pos="9360"/>
      </w:tabs>
    </w:pPr>
  </w:style>
  <w:style w:type="character" w:customStyle="1" w:styleId="HeaderChar">
    <w:name w:val="Header Char"/>
    <w:basedOn w:val="DefaultParagraphFont"/>
    <w:link w:val="Header"/>
    <w:uiPriority w:val="99"/>
    <w:rsid w:val="00A90867"/>
    <w:rPr>
      <w:rFonts w:ascii="Arial" w:eastAsia="Arial" w:hAnsi="Arial" w:cs="Arial"/>
      <w:sz w:val="22"/>
      <w:szCs w:val="22"/>
    </w:rPr>
  </w:style>
  <w:style w:type="paragraph" w:styleId="Footer">
    <w:name w:val="footer"/>
    <w:basedOn w:val="Normal"/>
    <w:link w:val="FooterChar"/>
    <w:uiPriority w:val="99"/>
    <w:unhideWhenUsed/>
    <w:rsid w:val="00A90867"/>
    <w:pPr>
      <w:tabs>
        <w:tab w:val="center" w:pos="4680"/>
        <w:tab w:val="right" w:pos="9360"/>
      </w:tabs>
    </w:pPr>
  </w:style>
  <w:style w:type="character" w:customStyle="1" w:styleId="FooterChar">
    <w:name w:val="Footer Char"/>
    <w:basedOn w:val="DefaultParagraphFont"/>
    <w:link w:val="Footer"/>
    <w:uiPriority w:val="99"/>
    <w:rsid w:val="00A90867"/>
    <w:rPr>
      <w:rFonts w:ascii="Arial" w:eastAsia="Arial" w:hAnsi="Arial" w:cs="Arial"/>
      <w:sz w:val="22"/>
      <w:szCs w:val="22"/>
    </w:rPr>
  </w:style>
  <w:style w:type="character" w:styleId="Hyperlink">
    <w:name w:val="Hyperlink"/>
    <w:basedOn w:val="DefaultParagraphFont"/>
    <w:uiPriority w:val="99"/>
    <w:unhideWhenUsed/>
    <w:rsid w:val="000F0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Johnson</dc:creator>
  <cp:keywords/>
  <dc:description/>
  <cp:lastModifiedBy>Krienke, Jane</cp:lastModifiedBy>
  <cp:revision>2</cp:revision>
  <dcterms:created xsi:type="dcterms:W3CDTF">2019-12-30T17:52:00Z</dcterms:created>
  <dcterms:modified xsi:type="dcterms:W3CDTF">2019-12-30T17:52:00Z</dcterms:modified>
</cp:coreProperties>
</file>